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 N 5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Министерства сельского, лесного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хозяйства и природных ресурсов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Ульяновской области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12 марта 2018 г. N 5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СПРАВКА-РАСЧЕТ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размера субсидии из областного бюджета Ульяновской области, предоставляемой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в целях возмещения части затрат в связи со строительством, реконструкцией,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капитальным ремонтом зданий, строений, сооружений и находящихся в них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помещений, входящих в состав имущественного комплекса сельскохозяйственного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кооперативного рынка, проведенных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после 1 января 2014 года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потребительского общества, союза потребительских обществ,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общества с ограниченной ответственностью, доля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уставного капитала в котором на 100 процентов принадлежит потребительскому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обществу или союзу потребительских обществ, сельскохозяйственного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потребительского кооператива, ассоциации (союза) сельскохозяйственных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потребительских кооперативов и потребительских обществ)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муниципального образования Ульяновской области)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07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2154"/>
        <w:gridCol w:w="1985"/>
        <w:gridCol w:w="1416"/>
      </w:tblGrid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выполненных работ (строительство, реконструкция,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Сумма затрат (без учета НДС и транспортных расходов), рублей</w:t>
            </w:r>
            <w:bookmarkStart w:id="0" w:name="Par329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ставки субсидии, %</w:t>
            </w:r>
            <w:bookmarkStart w:id="1" w:name="Par330"/>
            <w:bookmarkEnd w:id="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субсидии, рублей (</w:t>
            </w:r>
            <w:hyperlink w:anchor="Par329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2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33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100)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Руководитель организации                _____________   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Главный бухгалтер организации           _____________   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М.П. </w:t>
      </w:r>
      <w:hyperlink w:anchor="Par353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&lt;*&gt;</w:t>
        </w:r>
      </w:hyperlink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"__" _____________ 20__ г.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--------------------------------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&lt;*&gt;   При   наличии  печати  у  организации,  являющейся  хозяйственным</w:t>
      </w:r>
      <w:bookmarkStart w:id="2" w:name="Par353"/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обществом.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1</Pages>
  <Words>217</Words>
  <Characters>1684</Characters>
  <CharactersWithSpaces>2146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2021-03-16T19:31:39Z</dcterms:created>
  <dc:creator/>
  <dc:description/>
  <dc:language>ru-RU</dc:language>
  <cp:lastModifiedBy/>
  <dcterms:modified xsi:type="dcterms:W3CDTF">2021-03-16T19:32:46Z</dcterms:modified>
  <cp:revision>2</cp:revision>
  <dc:subject/>
  <dc:title>Default</dc:title>
</cp:coreProperties>
</file>